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single" w:sz="8"/>
          <w:left w:val="single" w:sz="8"/>
          <w:bottom w:val="single" w:sz="8"/>
          <w:right w:val="single" w:sz="8"/>
          <w:insideV w:val="single" w:sz="8"/>
          <w:insideH w:val="single" w:sz="8"/>
        </w:tblBorders>
      </w:tblPr>
      <w:tblGrid>
        <w:gridCol w:w="7100"/>
        <w:gridCol w:w="7100"/>
      </w:tblGrid>
      <w:tr>
        <w:tblPrEx>
          <w:tblBorders>
            <w:top w:val="single" w:sz="8"/>
            <w:left w:val="single" w:sz="8"/>
            <w:bottom w:val="single" w:sz="8"/>
            <w:right w:val="single" w:sz="8"/>
            <w:insideV w:val="single" w:sz="8"/>
            <w:insideH w:val="single" w:sz="8"/>
          </w:tblBorders>
        </w:tblPrEx>
        <w:tc>
          <w:tcPr>
            <w:gridSpan w:val="2"/>
            <w:tcW w:w="14200" w:type="dxa"/>
            <w:tcMar>
              <w:top w:w="60" w:type="dxa"/>
              <w:left w:w="80" w:type="dxa"/>
              <w:bottom w:w="60" w:type="dxa"/>
              <w:right w:w="80" w:type="dxa"/>
            </w:tcMar>
            <w:tcBorders>
              <w:top w:val="single" w:sz="8"/>
              <w:left w:val="single" w:sz="8"/>
              <w:bottom w:val="single" w:sz="8"/>
              <w:right w:val="single" w:sz="8"/>
            </w:tcBorders>
          </w:tcPr>
          <w:p>
            <w:pPr>
              <w:pStyle w:val="0"/>
            </w:pPr>
            <w:r>
              <w:rPr>
                <w:sz w:val="24"/>
              </w:rPr>
              <w:t xml:space="preserve"> </w:t>
              <w:br/>
            </w:r>
            <w:r>
              <w:rPr>
                <w:sz w:val="24"/>
              </w:rPr>
              <w:t xml:space="preserve">Федеральный закон от 23.11.2009 N 261-ФЗ</w:t>
              <w:br/>
              <w:t xml:space="preserve">(ред. от 31.07.2025)</w:t>
              <w:br/>
              <w:t xml:space="preserve">"Об энергосбережении и о повышении энергетической эффективности и о внесении изменений в отдельные законодательные акты Российской Федерации"</w:t>
              <w:br/>
              <w:t xml:space="preserve">(с изм. и доп., вступ. в силу с 01.03.2026)</w:t>
            </w:r>
            <w:r>
              <w:rPr>
                <w:sz w:val="24"/>
              </w:rPr>
              <w:br/>
              <w:t xml:space="preserve"> </w:t>
            </w:r>
          </w:p>
        </w:tc>
      </w:tr>
      <w:tr>
        <w:tblPrEx>
          <w:tblBorders>
            <w:top w:val="single" w:sz="8"/>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rPr>
              <w:t xml:space="preserve"> </w:t>
              <w:br/>
            </w:r>
            <w:r>
              <w:rPr>
                <w:sz w:val="24"/>
              </w:rPr>
              <w:t xml:space="preserve">Ред. от 31.07.2025, недействующая</w:t>
            </w:r>
            <w:r>
              <w:rPr>
                <w:sz w:val="24"/>
              </w:rPr>
              <w:br/>
              <w:t xml:space="preserve"> </w:t>
            </w:r>
          </w:p>
        </w:tc>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rPr>
              <w:t xml:space="preserve"> </w:t>
              <w:br/>
            </w:r>
            <w:r>
              <w:rPr>
                <w:sz w:val="24"/>
              </w:rPr>
              <w:t xml:space="preserve">Ред. от 31.07.2025, действующая</w:t>
            </w:r>
            <w:r>
              <w:rPr>
                <w:sz w:val="24"/>
              </w:rPr>
              <w:br/>
              <w:t xml:space="preserve"> </w:t>
            </w:r>
          </w:p>
        </w:tc>
      </w:tr>
      <w:tr>
        <w:tblPrEx>
          <w:tblBorders>
            <w:top w:val="single" w:sz="8"/>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b w:val="on"/>
              </w:rPr>
              <w:br/>
              <w:t xml:space="preserve">Глава 3. Государственное регулирование в области энергосбережения и повышения энергетической эффективности</w:t>
            </w:r>
          </w:p>
          <w:p>
            <w:pPr>
              <w:pStyle w:val="0"/>
              <w:ind w:left="240"/>
            </w:pPr>
            <w:r>
              <w:rPr>
                <w:sz w:val="24"/>
                <w:b w:val="on"/>
              </w:rPr>
              <w:t xml:space="preserve">Статья 13. Обеспечение учета используемых энергетических ресурсов и применения приборов учета используемых энергетических ресурсов при осуществлении расчетов за энергетические ресурсы</w:t>
              <w:br/>
            </w:r>
          </w:p>
        </w:tc>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b w:val="on"/>
              </w:rPr>
              <w:br/>
              <w:t xml:space="preserve">Глава 3. Государственное регулирование в области энергосбережения и повышения энергетической эффективности</w:t>
            </w:r>
          </w:p>
          <w:p>
            <w:pPr>
              <w:pStyle w:val="0"/>
              <w:ind w:left="240"/>
            </w:pPr>
            <w:r>
              <w:rPr>
                <w:sz w:val="24"/>
                <w:b w:val="on"/>
              </w:rPr>
              <w:t xml:space="preserve">Статья 13. Обеспечение учета используемых энергетических ресурсов и применения приборов учета используемых энергетических ресурсов при осуществлении расчетов за энергетические ресурсы</w:t>
              <w:br/>
            </w:r>
          </w:p>
        </w:tc>
      </w:tr>
      <w:tr>
        <w:tblPrEx>
          <w:tblBorders>
            <w:top w:val="single" w:sz="8"/>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single" w:sz="8"/>
              <w:right w:val="single" w:sz="8"/>
            </w:tcBorders>
          </w:tcPr>
          <w:p>
            <w:pPr>
              <w:pStyle w:val="0"/>
              <w:spacing w:before="240" w:lineRule="auto"/>
              <w:ind w:firstLine="540"/>
              <w:jc w:val="both"/>
            </w:pPr>
            <w:r>
              <w:rPr>
                <w:sz w:val="24"/>
              </w:rPr>
              <w:t xml:space="preserve">7. Здания, строения, сооружения и иные объекты, в процессе эксплуатации которых используются энергетические ресурсы, в том числе </w:t>
            </w:r>
            <w:r>
              <w:rPr>
                <w:sz w:val="24"/>
                <w:color w:val="ff0000"/>
                <w:strike w:val="on"/>
              </w:rPr>
              <w:t xml:space="preserve">временные объекты</w:t>
            </w:r>
            <w:r>
              <w:rPr>
                <w:sz w:val="24"/>
              </w:rPr>
              <w:t xml:space="preserve">, вводимые в эксплуатацию после дня вступления в силу настоящего Федерального закона, на дату их ввода в эксплуатацию должны быть оснащены приборами учета используемых энергетических ресурсов, аналогичными указанным в </w:t>
            </w:r>
            <w:r>
              <w:rPr>
                <w:sz w:val="24"/>
              </w:rPr>
              <w:t xml:space="preserve">частях 3</w:t>
            </w:r>
            <w:r>
              <w:rPr>
                <w:sz w:val="24"/>
              </w:rPr>
              <w:t xml:space="preserve"> - </w:t>
            </w:r>
            <w:r>
              <w:rPr>
                <w:sz w:val="24"/>
              </w:rPr>
              <w:t xml:space="preserve">6.1 настоящей статьи</w:t>
            </w:r>
            <w:r>
              <w:rPr>
                <w:sz w:val="24"/>
              </w:rPr>
              <w:t xml:space="preserve">. Многоквартирные дома, вводимые в эксплуатацию с 1 января 2012 года после осуществления строительства, реконструкции, должны быть оснащены дополнительно индивидуальными приборами учета используемой тепловой энергии, а многоквартирные дома, вводимые в эксплуатацию с 1 января 2012 года после капитального ремонта, должны быть оснащены индивидуальными приборами учета используемой тепловой энергии при наличии технической возможности их установки. Собственники приборов учета используемых энергетических ресурсов обязаны обеспечить надлежащую эксплуатацию этих приборов учета, их сохранность, своевременную замену.</w:t>
            </w:r>
          </w:p>
        </w:tc>
        <w:tc>
          <w:tcPr>
            <w:tcW w:w="7100" w:type="dxa"/>
            <w:tcMar>
              <w:top w:w="60" w:type="dxa"/>
              <w:left w:w="80" w:type="dxa"/>
              <w:bottom w:w="60" w:type="dxa"/>
              <w:right w:w="80" w:type="dxa"/>
            </w:tcMar>
            <w:tcBorders>
              <w:top w:val="single" w:sz="8"/>
              <w:left w:val="single" w:sz="8"/>
              <w:bottom w:val="single" w:sz="8"/>
              <w:right w:val="single" w:sz="8"/>
            </w:tcBorders>
          </w:tcPr>
          <w:p>
            <w:pPr>
              <w:pStyle w:val="0"/>
              <w:spacing w:before="240" w:lineRule="auto"/>
              <w:ind w:firstLine="540"/>
              <w:jc w:val="both"/>
            </w:pPr>
            <w:r>
              <w:rPr>
                <w:sz w:val="24"/>
              </w:rPr>
              <w:t xml:space="preserve">7. Здания, строения, сооружения и иные объекты, в процессе эксплуатации которых используются энергетические ресурсы, в том числе </w:t>
            </w:r>
            <w:r>
              <w:rPr>
                <w:sz w:val="24"/>
                <w:shd w:val="clear" w:fill="c0c0c0"/>
              </w:rPr>
              <w:t xml:space="preserve">некапитальные строения, сооружения</w:t>
            </w:r>
            <w:r>
              <w:rPr>
                <w:sz w:val="24"/>
              </w:rPr>
              <w:t xml:space="preserve">, вводимые в эксплуатацию после дня вступления в силу настоящего Федерального закона, на дату их ввода в эксплуатацию должны быть оснащены приборами учета используемых энергетических ресурсов, аналогичными указанным в </w:t>
            </w:r>
            <w:r>
              <w:rPr>
                <w:sz w:val="24"/>
              </w:rPr>
              <w:t xml:space="preserve">частях 3</w:t>
            </w:r>
            <w:r>
              <w:rPr>
                <w:sz w:val="24"/>
              </w:rPr>
              <w:t xml:space="preserve"> - </w:t>
            </w:r>
            <w:r>
              <w:rPr>
                <w:sz w:val="24"/>
              </w:rPr>
              <w:t xml:space="preserve">6.1 настоящей статьи</w:t>
            </w:r>
            <w:r>
              <w:rPr>
                <w:sz w:val="24"/>
              </w:rPr>
              <w:t xml:space="preserve">. Многоквартирные дома, вводимые в эксплуатацию с 1 января 2012 года после осуществления строительства, реконструкции, должны быть оснащены дополнительно индивидуальными приборами учета используемой тепловой энергии, а многоквартирные дома, вводимые в эксплуатацию с 1 января 2012 года после капитального ремонта, должны быть оснащены индивидуальными приборами учета используемой тепловой энергии при наличии технической возможности их установки. Собственники приборов учета используемых энергетических ресурсов обязаны обеспечить надлежащую эксплуатацию этих приборов учета, их сохранность, своевременную замену.</w:t>
            </w:r>
          </w:p>
        </w:tc>
      </w:tr>
      <w:tr>
        <w:tblPrEx>
          <w:tblBorders>
            <w:top w:val="single" w:sz="8"/>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b w:val="on"/>
              </w:rPr>
              <w:br/>
              <w:t xml:space="preserve">Глава 4. Энергетическое обследование. Декларирование потребления энергетических ресурсов. Саморегулируемые организации в области энергетического обследования</w:t>
            </w:r>
          </w:p>
          <w:p>
            <w:pPr>
              <w:pStyle w:val="0"/>
              <w:ind w:left="240"/>
            </w:pPr>
            <w:r>
              <w:rPr>
                <w:sz w:val="24"/>
                <w:b w:val="on"/>
              </w:rPr>
              <w:t xml:space="preserve">Статья 18. Требования к саморегулируемым организациям в области энергетического обследования</w:t>
              <w:br/>
            </w:r>
          </w:p>
        </w:tc>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b w:val="on"/>
              </w:rPr>
              <w:br/>
              <w:t xml:space="preserve">Глава 4. Энергетическое обследование. Декларирование потребления энергетических ресурсов. Саморегулируемые организации в области энергетического обследования</w:t>
            </w:r>
          </w:p>
          <w:p>
            <w:pPr>
              <w:pStyle w:val="0"/>
              <w:ind w:left="240"/>
            </w:pPr>
            <w:r>
              <w:rPr>
                <w:sz w:val="24"/>
                <w:b w:val="on"/>
              </w:rPr>
              <w:t xml:space="preserve">Статья 18. Требования к саморегулируемым организациям в области энергетического обследования</w:t>
              <w:br/>
            </w:r>
          </w:p>
        </w:tc>
      </w:tr>
      <w:tr>
        <w:tblPrEx>
          <w:tblBorders>
            <w:top w:val="single" w:sz="8"/>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single" w:sz="8"/>
              <w:right w:val="single" w:sz="8"/>
            </w:tcBorders>
          </w:tcPr>
          <w:p>
            <w:pPr>
              <w:pStyle w:val="0"/>
              <w:spacing w:before="240" w:lineRule="auto"/>
              <w:ind w:firstLine="540"/>
              <w:jc w:val="both"/>
            </w:pPr>
            <w:r>
              <w:rPr>
                <w:sz w:val="24"/>
              </w:rPr>
              <w:t xml:space="preserve">2.2. </w:t>
            </w:r>
            <w:r>
              <w:rPr>
                <w:sz w:val="24"/>
                <w:color w:val="ff0000"/>
                <w:strike w:val="on"/>
              </w:rPr>
              <w:t xml:space="preserve">В случае, если заявление</w:t>
            </w:r>
            <w:r>
              <w:rPr>
                <w:sz w:val="24"/>
              </w:rPr>
              <w:t xml:space="preserve"> о внесении в государственный реестр саморегулируемых организаций в области энергетического обследования и указанные в </w:t>
            </w:r>
            <w:r>
              <w:rPr>
                <w:sz w:val="24"/>
              </w:rPr>
              <w:t xml:space="preserve">части 2</w:t>
            </w:r>
            <w:r>
              <w:rPr>
                <w:sz w:val="24"/>
              </w:rPr>
              <w:t xml:space="preserve"> настоящей статьи </w:t>
            </w:r>
            <w:r>
              <w:rPr>
                <w:sz w:val="24"/>
                <w:color w:val="ff0000"/>
                <w:strike w:val="on"/>
              </w:rPr>
              <w:t xml:space="preserve">документы подаются в</w:t>
            </w:r>
            <w:r>
              <w:rPr>
                <w:sz w:val="24"/>
              </w:rPr>
              <w:t xml:space="preserve"> форме электронных документов, </w:t>
            </w:r>
            <w:r>
              <w:rPr>
                <w:sz w:val="24"/>
                <w:color w:val="ff0000"/>
                <w:strike w:val="on"/>
              </w:rPr>
              <w:t xml:space="preserve">данное заявление должно быть подписано</w:t>
            </w:r>
            <w:r>
              <w:rPr>
                <w:sz w:val="24"/>
              </w:rPr>
              <w:t xml:space="preserve"> заявителем усиленной квалифицированной электронной подписью</w:t>
            </w:r>
            <w:r>
              <w:rPr>
                <w:sz w:val="24"/>
                <w:color w:val="ff0000"/>
                <w:strike w:val="on"/>
              </w:rPr>
              <w:t xml:space="preserve">, а указанные документы - должностными лицами органов, организаций, уполномоченными на подписание указанных документов</w:t>
            </w:r>
            <w:r>
              <w:rPr>
                <w:sz w:val="24"/>
              </w:rPr>
              <w:t xml:space="preserve"> электронной подписью, </w:t>
            </w:r>
            <w:r>
              <w:rPr>
                <w:sz w:val="24"/>
                <w:color w:val="ff0000"/>
                <w:strike w:val="on"/>
              </w:rPr>
              <w:t xml:space="preserve">вид</w:t>
            </w:r>
            <w:r>
              <w:rPr>
                <w:sz w:val="24"/>
              </w:rPr>
              <w:t xml:space="preserve"> которой </w:t>
            </w:r>
            <w:r>
              <w:rPr>
                <w:sz w:val="24"/>
                <w:color w:val="ff0000"/>
                <w:strike w:val="on"/>
              </w:rPr>
              <w:t xml:space="preserve">установлен законодательством</w:t>
            </w:r>
            <w:r>
              <w:rPr>
                <w:sz w:val="24"/>
              </w:rPr>
              <w:t xml:space="preserve"> Российской Федерации.</w:t>
            </w:r>
          </w:p>
        </w:tc>
        <w:tc>
          <w:tcPr>
            <w:tcW w:w="7100" w:type="dxa"/>
            <w:tcMar>
              <w:top w:w="60" w:type="dxa"/>
              <w:left w:w="80" w:type="dxa"/>
              <w:bottom w:w="60" w:type="dxa"/>
              <w:right w:w="80" w:type="dxa"/>
            </w:tcMar>
            <w:tcBorders>
              <w:top w:val="single" w:sz="8"/>
              <w:left w:val="single" w:sz="8"/>
              <w:bottom w:val="single" w:sz="8"/>
              <w:right w:val="single" w:sz="8"/>
            </w:tcBorders>
          </w:tcPr>
          <w:p>
            <w:pPr>
              <w:pStyle w:val="0"/>
              <w:spacing w:before="240" w:lineRule="auto"/>
              <w:ind w:firstLine="540"/>
              <w:jc w:val="both"/>
            </w:pPr>
            <w:r>
              <w:rPr>
                <w:sz w:val="24"/>
              </w:rPr>
              <w:t xml:space="preserve">2.2. </w:t>
            </w:r>
            <w:r>
              <w:rPr>
                <w:sz w:val="24"/>
                <w:shd w:val="clear" w:fill="c0c0c0"/>
              </w:rPr>
              <w:t xml:space="preserve">Заявление</w:t>
            </w:r>
            <w:r>
              <w:rPr>
                <w:sz w:val="24"/>
              </w:rPr>
              <w:t xml:space="preserve"> о внесении </w:t>
            </w:r>
            <w:r>
              <w:rPr>
                <w:sz w:val="24"/>
                <w:shd w:val="clear" w:fill="c0c0c0"/>
              </w:rPr>
              <w:t xml:space="preserve">сведений о некоммерческой организации</w:t>
            </w:r>
            <w:r>
              <w:rPr>
                <w:sz w:val="24"/>
              </w:rPr>
              <w:t xml:space="preserve"> в государственный реестр саморегулируемых организаций в области энергетического обследования и </w:t>
            </w:r>
            <w:r>
              <w:rPr>
                <w:sz w:val="24"/>
                <w:shd w:val="clear" w:fill="c0c0c0"/>
              </w:rPr>
              <w:t xml:space="preserve">документы,</w:t>
            </w:r>
            <w:r>
              <w:rPr>
                <w:sz w:val="24"/>
              </w:rPr>
              <w:t xml:space="preserve"> указанные в </w:t>
            </w:r>
            <w:r>
              <w:rPr>
                <w:sz w:val="24"/>
              </w:rPr>
              <w:t xml:space="preserve">части 2</w:t>
            </w:r>
            <w:r>
              <w:rPr>
                <w:sz w:val="24"/>
              </w:rPr>
              <w:t xml:space="preserve"> настоящей статьи</w:t>
            </w:r>
            <w:r>
              <w:rPr>
                <w:sz w:val="24"/>
                <w:shd w:val="clear" w:fill="c0c0c0"/>
              </w:rPr>
              <w:t xml:space="preserve">, могут подаваться в</w:t>
            </w:r>
            <w:r>
              <w:rPr>
                <w:sz w:val="24"/>
              </w:rPr>
              <w:t xml:space="preserve"> форме электронных документов, </w:t>
            </w:r>
            <w:r>
              <w:rPr>
                <w:sz w:val="24"/>
                <w:shd w:val="clear" w:fill="c0c0c0"/>
              </w:rPr>
              <w:t xml:space="preserve">подписанных</w:t>
            </w:r>
            <w:r>
              <w:rPr>
                <w:sz w:val="24"/>
              </w:rPr>
              <w:t xml:space="preserve"> заявителем усиленной квалифицированной электронной подписью </w:t>
            </w:r>
            <w:r>
              <w:rPr>
                <w:sz w:val="24"/>
                <w:shd w:val="clear" w:fill="c0c0c0"/>
              </w:rPr>
              <w:t xml:space="preserve">или подписанных физическим лицом, действующим от имени заявителя на основании доверенности, усиленной квалифицированной электронной подписью или усиленной неквалифицированной</w:t>
            </w:r>
            <w:r>
              <w:rPr>
                <w:sz w:val="24"/>
              </w:rPr>
              <w:t xml:space="preserve"> электронной подписью, </w:t>
            </w:r>
            <w:r>
              <w:rPr>
                <w:sz w:val="24"/>
                <w:shd w:val="clear" w:fill="c0c0c0"/>
              </w:rPr>
              <w:t xml:space="preserve">сертификат ключа проверки</w:t>
            </w:r>
            <w:r>
              <w:rPr>
                <w:sz w:val="24"/>
              </w:rPr>
              <w:t xml:space="preserve"> которой </w:t>
            </w:r>
            <w:r>
              <w:rPr>
                <w:sz w:val="24"/>
                <w:shd w:val="clear" w:fill="c0c0c0"/>
              </w:rPr>
              <w:t xml:space="preserve">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w:t>
            </w:r>
            <w:r>
              <w:rPr>
                <w:sz w:val="24"/>
              </w:rPr>
              <w:t xml:space="preserve"> Российской Федерации </w:t>
            </w:r>
            <w:r>
              <w:rPr>
                <w:sz w:val="24"/>
                <w:shd w:val="clear" w:fill="c0c0c0"/>
              </w:rPr>
              <w:t xml:space="preserve">порядке</w:t>
            </w:r>
            <w:r>
              <w:rPr>
                <w:sz w:val="24"/>
                <w:shd w:val="clear" w:fill="c0c0c0"/>
              </w:rPr>
              <w:t xml:space="preserve"> и при условии организации взаимодействия физического лица с такой инфраструктурой с применением прошедших в установленном порядке процедуру оценки соответствия средств защиты информации, в том числе с использованием федеральной государственной информационной системы "Единый портал государственных и муниципальных услуг (функций)"</w:t>
            </w:r>
            <w:r>
              <w:rPr>
                <w:sz w:val="24"/>
              </w:rPr>
              <w:t xml:space="preserve">.</w:t>
            </w:r>
          </w:p>
        </w:tc>
      </w:tr>
    </w:tbl>
    <w:sectPr>
      <w:headerReference w:type="default" r:id="rId3"/>
      <w:headerReference w:type="first" r:id="rId3"/>
      <w:footerReference w:type="default" r:id="rId4"/>
      <w:footerReference w:type="first" r:id="rId4"/>
      <w:pgSz w:w="16838" w:h="11906" w:orient="landscape"/>
      <w:pgMar w:top="1133" w:right="1440" w:bottom="566" w:left="1440"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Сравнение редакций документа</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18.06.2026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header" Target="header1.xml"/><Relationship Id="rId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Сравнение редакций документа</dc:title>
  <dcterms:created xsi:type="dcterms:W3CDTF">2026-06-18T09:53:37Z</dcterms:created>
</cp:coreProperties>
</file>